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141142A4" w:rsidR="006C023F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 w:rsidR="000A6AF8"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>List služby</w:t>
      </w:r>
      <w:r w:rsidR="007C40A2">
        <w:rPr>
          <w:rFonts w:cs="Arial"/>
          <w:sz w:val="32"/>
          <w:szCs w:val="32"/>
        </w:rPr>
        <w:br/>
      </w:r>
      <w:r w:rsidRPr="00201C9A">
        <w:rPr>
          <w:rFonts w:cs="Arial"/>
          <w:sz w:val="32"/>
          <w:szCs w:val="32"/>
        </w:rPr>
        <w:t xml:space="preserve">P01 </w:t>
      </w:r>
      <w:r w:rsidR="007C40A2">
        <w:rPr>
          <w:rFonts w:cs="Arial"/>
          <w:sz w:val="32"/>
          <w:szCs w:val="32"/>
        </w:rPr>
        <w:t xml:space="preserve">– </w:t>
      </w:r>
      <w:r w:rsidR="00E44C75" w:rsidRPr="00142310">
        <w:rPr>
          <w:rFonts w:cs="Arial"/>
          <w:sz w:val="32"/>
          <w:szCs w:val="32"/>
        </w:rPr>
        <w:t xml:space="preserve">Monitoring, profylaxe a podpora zajišťující nepřetržitý provoz </w:t>
      </w:r>
      <w:r w:rsidR="00E8342F">
        <w:rPr>
          <w:rFonts w:cs="Arial"/>
          <w:sz w:val="32"/>
          <w:szCs w:val="32"/>
        </w:rPr>
        <w:t>PLC úrovně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3928E471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 xml:space="preserve">Monitoring, profylaxe a podpora zajišťující nepřetržitý provoz </w:t>
            </w:r>
            <w:r w:rsidR="00D3162C">
              <w:rPr>
                <w:rFonts w:cs="Arial"/>
                <w:sz w:val="18"/>
                <w:szCs w:val="18"/>
              </w:rPr>
              <w:t xml:space="preserve">PLC </w:t>
            </w:r>
            <w:r w:rsidR="00AD6EEA">
              <w:rPr>
                <w:rFonts w:cs="Arial"/>
                <w:sz w:val="18"/>
                <w:szCs w:val="18"/>
              </w:rPr>
              <w:t>úrovně</w:t>
            </w:r>
            <w:r w:rsidR="008A081D">
              <w:rPr>
                <w:rFonts w:cs="Arial"/>
                <w:sz w:val="18"/>
                <w:szCs w:val="18"/>
              </w:rPr>
              <w:t xml:space="preserve"> (</w:t>
            </w:r>
            <w:r w:rsidR="00435467">
              <w:rPr>
                <w:rFonts w:cs="Arial"/>
                <w:sz w:val="18"/>
                <w:szCs w:val="18"/>
              </w:rPr>
              <w:t>tj. Aktiva)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B2F648" w14:textId="77777777" w:rsidR="00BA534D" w:rsidRDefault="00FA16FE" w:rsidP="00E4247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5A0B23A9" w14:textId="1D768BF4" w:rsidR="00D20E32" w:rsidRPr="00D20E32" w:rsidRDefault="00FA16FE" w:rsidP="00D20E32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provedení definovaných kontrol stavu </w:t>
            </w:r>
            <w:r w:rsidR="0019743C">
              <w:rPr>
                <w:rFonts w:ascii="Arial" w:hAnsi="Arial" w:cs="Arial"/>
              </w:rPr>
              <w:t>PLC</w:t>
            </w:r>
            <w:r w:rsidR="00CB354C">
              <w:rPr>
                <w:rFonts w:ascii="Arial" w:hAnsi="Arial" w:cs="Arial"/>
              </w:rPr>
              <w:t xml:space="preserve"> úrovně</w:t>
            </w:r>
            <w:r w:rsidR="00634BB8">
              <w:rPr>
                <w:rFonts w:ascii="Arial" w:hAnsi="Arial" w:cs="Arial"/>
              </w:rPr>
              <w:t xml:space="preserve"> </w:t>
            </w:r>
            <w:r w:rsidRPr="00BA534D">
              <w:rPr>
                <w:rFonts w:ascii="Arial" w:hAnsi="Arial" w:cs="Arial"/>
              </w:rPr>
              <w:t>v rozsahu Služby za účelem prevence stavů,</w:t>
            </w:r>
            <w:r w:rsidR="001D3AB3">
              <w:rPr>
                <w:rFonts w:ascii="Arial" w:hAnsi="Arial" w:cs="Arial"/>
              </w:rPr>
              <w:br/>
            </w:r>
            <w:r w:rsidRPr="00BA534D">
              <w:rPr>
                <w:rFonts w:ascii="Arial" w:hAnsi="Arial" w:cs="Arial"/>
              </w:rPr>
              <w:t xml:space="preserve">které by v budoucnu mohly negativně ovlivnit bezproblémový chod </w:t>
            </w:r>
            <w:r w:rsidR="00D3162C">
              <w:rPr>
                <w:rFonts w:ascii="Arial" w:hAnsi="Arial" w:cs="Arial"/>
              </w:rPr>
              <w:t>PLC</w:t>
            </w:r>
            <w:r w:rsidR="00CB354C">
              <w:rPr>
                <w:rFonts w:ascii="Arial" w:hAnsi="Arial" w:cs="Arial"/>
              </w:rPr>
              <w:t xml:space="preserve"> úrovně</w:t>
            </w:r>
            <w:r w:rsidR="00634BB8">
              <w:rPr>
                <w:rFonts w:ascii="Arial" w:hAnsi="Arial" w:cs="Arial"/>
              </w:rPr>
              <w:t xml:space="preserve"> </w:t>
            </w:r>
            <w:r w:rsidRPr="00BA534D">
              <w:rPr>
                <w:rFonts w:ascii="Arial" w:hAnsi="Arial" w:cs="Arial"/>
              </w:rPr>
              <w:t xml:space="preserve">v rozsahu Služby, </w:t>
            </w:r>
          </w:p>
          <w:p w14:paraId="44B4C933" w14:textId="27F92CA5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identifikace </w:t>
            </w:r>
            <w:r w:rsidR="00B961EE">
              <w:rPr>
                <w:rFonts w:ascii="Arial" w:hAnsi="Arial" w:cs="Arial"/>
              </w:rPr>
              <w:t>poruchových stavů</w:t>
            </w:r>
            <w:r w:rsidR="00B97446">
              <w:rPr>
                <w:rFonts w:ascii="Arial" w:hAnsi="Arial" w:cs="Arial"/>
              </w:rPr>
              <w:t xml:space="preserve"> PLC úrovně</w:t>
            </w:r>
          </w:p>
          <w:p w14:paraId="4E02B7AB" w14:textId="39C8BDBB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registrace identifikovaných Incidentů v aplikaci Help</w:t>
            </w:r>
            <w:r w:rsidR="00435467">
              <w:rPr>
                <w:rFonts w:ascii="Arial" w:hAnsi="Arial" w:cs="Arial"/>
              </w:rPr>
              <w:t>D</w:t>
            </w:r>
            <w:r w:rsidRPr="00BA534D">
              <w:rPr>
                <w:rFonts w:ascii="Arial" w:hAnsi="Arial" w:cs="Arial"/>
              </w:rPr>
              <w:t>esk Objednatele,</w:t>
            </w:r>
          </w:p>
          <w:p w14:paraId="13DAFA5C" w14:textId="77777777" w:rsidR="00D24837" w:rsidRPr="00520FEF" w:rsidRDefault="00CF1149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A16FE" w:rsidRPr="00BA534D">
              <w:rPr>
                <w:rFonts w:ascii="Arial" w:hAnsi="Arial" w:cs="Arial"/>
              </w:rPr>
              <w:t>reportování o zjištěném stavu Objednateli a návrh řešení</w:t>
            </w:r>
          </w:p>
          <w:p w14:paraId="1D8BB2E7" w14:textId="43D86AE9" w:rsidR="00201C9A" w:rsidRPr="00BA534D" w:rsidRDefault="00D24837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>vypracování Exitového plánu pro jednotlivé Lokality</w:t>
            </w:r>
            <w:r w:rsidR="00FA16FE" w:rsidRPr="00BA534D">
              <w:rPr>
                <w:rFonts w:ascii="Arial" w:hAnsi="Arial" w:cs="Arial"/>
              </w:rPr>
              <w:t>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1BAC1690" w:rsidR="00201C9A" w:rsidRPr="001D3AB3" w:rsidRDefault="00201C9A">
            <w:pPr>
              <w:spacing w:before="40" w:after="40"/>
              <w:jc w:val="both"/>
              <w:rPr>
                <w:rFonts w:cs="Arial"/>
              </w:rPr>
            </w:pPr>
            <w:r w:rsidRPr="001D3AB3">
              <w:rPr>
                <w:rFonts w:cs="Arial"/>
              </w:rPr>
              <w:t xml:space="preserve">Tato Služba je poskytována pro </w:t>
            </w:r>
            <w:r w:rsidR="00EC3CB5">
              <w:rPr>
                <w:rFonts w:cs="Arial"/>
              </w:rPr>
              <w:t>PLC úroveň Řídícího systému skladu</w:t>
            </w:r>
            <w:r w:rsidRPr="001D3AB3">
              <w:rPr>
                <w:rFonts w:cs="Arial"/>
              </w:rPr>
              <w:t xml:space="preserve"> Objednatele</w:t>
            </w:r>
            <w:r w:rsidR="00B054D4">
              <w:rPr>
                <w:rFonts w:cs="Arial"/>
              </w:rPr>
              <w:t>.</w:t>
            </w:r>
          </w:p>
          <w:p w14:paraId="7AAEAD8B" w14:textId="77777777" w:rsidR="00201C9A" w:rsidRPr="00D038FB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</w:rPr>
            </w:pPr>
          </w:p>
          <w:p w14:paraId="1A44A11D" w14:textId="5C44FE32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0ABCB186" w:rsidR="00201C9A" w:rsidRPr="00201C9A" w:rsidRDefault="00201C9A" w:rsidP="00E42472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Služba zahrnuje minimálně </w:t>
            </w:r>
            <w:r w:rsidR="00751095">
              <w:rPr>
                <w:rFonts w:cs="Arial"/>
              </w:rPr>
              <w:t xml:space="preserve">a zejména </w:t>
            </w:r>
            <w:r w:rsidRPr="00201C9A">
              <w:rPr>
                <w:rFonts w:cs="Arial"/>
              </w:rPr>
              <w:t>následující aktivity:</w:t>
            </w:r>
          </w:p>
          <w:p w14:paraId="6E7097AE" w14:textId="2900498B" w:rsidR="00201C9A" w:rsidRPr="00201C9A" w:rsidRDefault="00753D6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log</w:t>
            </w:r>
            <w:r w:rsidR="00FC2503">
              <w:rPr>
                <w:rFonts w:ascii="Arial" w:hAnsi="Arial" w:cs="Arial"/>
              </w:rPr>
              <w:t>ů</w:t>
            </w:r>
            <w:r w:rsidR="006A084E">
              <w:rPr>
                <w:rFonts w:ascii="Arial" w:hAnsi="Arial" w:cs="Arial"/>
              </w:rPr>
              <w:t xml:space="preserve"> a</w:t>
            </w:r>
            <w:r w:rsidR="00FC2503">
              <w:rPr>
                <w:rFonts w:ascii="Arial" w:hAnsi="Arial" w:cs="Arial"/>
              </w:rPr>
              <w:t xml:space="preserve"> chybových hlášení</w:t>
            </w:r>
            <w:r w:rsidR="00F548A1">
              <w:rPr>
                <w:rFonts w:ascii="Arial" w:hAnsi="Arial" w:cs="Arial"/>
              </w:rPr>
              <w:t xml:space="preserve"> </w:t>
            </w:r>
            <w:r w:rsidR="0031048D">
              <w:rPr>
                <w:rFonts w:ascii="Arial" w:hAnsi="Arial" w:cs="Arial"/>
              </w:rPr>
              <w:t>PLC úrovně</w:t>
            </w:r>
            <w:r w:rsidR="002C7CF4">
              <w:rPr>
                <w:rFonts w:ascii="Arial" w:hAnsi="Arial" w:cs="Arial"/>
              </w:rPr>
              <w:t>,</w:t>
            </w:r>
          </w:p>
          <w:p w14:paraId="06560396" w14:textId="13885475" w:rsidR="00DB1AB2" w:rsidRPr="00DB1AB2" w:rsidRDefault="00DB1AB2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</w:t>
            </w:r>
            <w:r w:rsidRPr="00DB1AB2">
              <w:rPr>
                <w:rFonts w:ascii="Arial" w:hAnsi="Arial" w:cs="Arial"/>
              </w:rPr>
              <w:t xml:space="preserve"> využívání systémových zdrojů (např. CPU, RAM, uložiště atd.), sledování trendů nárůstu využívání systémových zdrojů a v případě překročení hranice 10 % analýza příčin a návrh řešení</w:t>
            </w:r>
            <w:r w:rsidR="0098271D">
              <w:rPr>
                <w:rFonts w:ascii="Arial" w:hAnsi="Arial" w:cs="Arial"/>
              </w:rPr>
              <w:t>,</w:t>
            </w:r>
          </w:p>
          <w:p w14:paraId="25DA079E" w14:textId="402393EF" w:rsidR="00F32632" w:rsidRPr="00201C9A" w:rsidRDefault="00F32632" w:rsidP="00F3263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dostupnosti</w:t>
            </w:r>
            <w:r w:rsidR="00A726D7">
              <w:rPr>
                <w:rFonts w:ascii="Arial" w:hAnsi="Arial" w:cs="Arial"/>
              </w:rPr>
              <w:t xml:space="preserve"> PLC </w:t>
            </w:r>
            <w:r w:rsidR="006E46BC">
              <w:rPr>
                <w:rFonts w:ascii="Arial" w:hAnsi="Arial" w:cs="Arial"/>
              </w:rPr>
              <w:t xml:space="preserve">úrovně </w:t>
            </w:r>
            <w:r w:rsidR="00E63F9B">
              <w:rPr>
                <w:rFonts w:ascii="Arial" w:hAnsi="Arial" w:cs="Arial"/>
              </w:rPr>
              <w:t>a vzdáleného připojení k</w:t>
            </w:r>
            <w:r w:rsidR="006E46BC">
              <w:rPr>
                <w:rFonts w:ascii="Arial" w:hAnsi="Arial" w:cs="Arial"/>
              </w:rPr>
              <w:t> </w:t>
            </w:r>
            <w:r w:rsidR="00E63F9B">
              <w:rPr>
                <w:rFonts w:ascii="Arial" w:hAnsi="Arial" w:cs="Arial"/>
              </w:rPr>
              <w:t>PLC</w:t>
            </w:r>
            <w:r w:rsidR="006E46BC">
              <w:rPr>
                <w:rFonts w:ascii="Arial" w:hAnsi="Arial" w:cs="Arial"/>
              </w:rPr>
              <w:t xml:space="preserve"> úrovni</w:t>
            </w:r>
            <w:r w:rsidR="009C52C8">
              <w:rPr>
                <w:rFonts w:ascii="Arial" w:hAnsi="Arial" w:cs="Arial"/>
              </w:rPr>
              <w:t>,</w:t>
            </w:r>
          </w:p>
          <w:p w14:paraId="2CFCFEBD" w14:textId="365EC4F7" w:rsidR="00F32632" w:rsidRPr="0098271D" w:rsidRDefault="00F32632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E03238">
              <w:rPr>
                <w:rFonts w:ascii="Arial" w:hAnsi="Arial" w:cs="Arial"/>
              </w:rPr>
              <w:t>doby platnosti podpor</w:t>
            </w:r>
            <w:r w:rsidR="009C52C8">
              <w:rPr>
                <w:rFonts w:ascii="Arial" w:hAnsi="Arial" w:cs="Arial"/>
              </w:rPr>
              <w:t>y</w:t>
            </w:r>
            <w:r w:rsidRPr="00E03238">
              <w:rPr>
                <w:rFonts w:ascii="Arial" w:hAnsi="Arial" w:cs="Arial"/>
              </w:rPr>
              <w:t xml:space="preserve"> a životního cyklu v rozsahu </w:t>
            </w:r>
            <w:r w:rsidR="00591213">
              <w:rPr>
                <w:rFonts w:ascii="Arial" w:hAnsi="Arial" w:cs="Arial"/>
              </w:rPr>
              <w:t>S</w:t>
            </w:r>
            <w:r w:rsidR="00591213" w:rsidRPr="00E03238">
              <w:rPr>
                <w:rFonts w:ascii="Arial" w:hAnsi="Arial" w:cs="Arial"/>
              </w:rPr>
              <w:t>lužby</w:t>
            </w:r>
            <w:r w:rsidR="0098271D" w:rsidRPr="00E03238">
              <w:rPr>
                <w:rFonts w:ascii="Arial" w:hAnsi="Arial" w:cs="Arial"/>
              </w:rPr>
              <w:t>,</w:t>
            </w:r>
          </w:p>
          <w:p w14:paraId="2BACAB1D" w14:textId="452FCAF6" w:rsidR="0098271D" w:rsidRPr="0098271D" w:rsidRDefault="0098271D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revize</w:t>
            </w:r>
            <w:r w:rsidRPr="0098271D">
              <w:rPr>
                <w:rFonts w:ascii="Arial" w:hAnsi="Arial" w:cs="Arial"/>
              </w:rPr>
              <w:t xml:space="preserve"> aktuálního stavu </w:t>
            </w:r>
            <w:r w:rsidR="00A622C9">
              <w:rPr>
                <w:rFonts w:ascii="Arial" w:hAnsi="Arial" w:cs="Arial"/>
              </w:rPr>
              <w:t xml:space="preserve">v rozsahu </w:t>
            </w:r>
            <w:r w:rsidR="008A410D">
              <w:rPr>
                <w:rFonts w:ascii="Arial" w:hAnsi="Arial" w:cs="Arial"/>
              </w:rPr>
              <w:t xml:space="preserve">Služby </w:t>
            </w:r>
            <w:r w:rsidR="00BD4E12">
              <w:rPr>
                <w:rFonts w:ascii="Arial" w:hAnsi="Arial" w:cs="Arial"/>
              </w:rPr>
              <w:t xml:space="preserve">v souladu </w:t>
            </w:r>
            <w:r w:rsidRPr="0098271D">
              <w:rPr>
                <w:rFonts w:ascii="Arial" w:hAnsi="Arial" w:cs="Arial"/>
              </w:rPr>
              <w:t>s dobrou praxí a licenčními podmínkami,</w:t>
            </w:r>
          </w:p>
          <w:p w14:paraId="144F1608" w14:textId="2FE441AF" w:rsidR="00877317" w:rsidRDefault="0098271D" w:rsidP="0087731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revize souladu </w:t>
            </w:r>
            <w:r w:rsidRPr="0098271D">
              <w:rPr>
                <w:rFonts w:ascii="Arial" w:hAnsi="Arial" w:cs="Arial"/>
              </w:rPr>
              <w:t xml:space="preserve">aktuálního stavu </w:t>
            </w:r>
            <w:r w:rsidR="00A622C9">
              <w:rPr>
                <w:rFonts w:ascii="Arial" w:hAnsi="Arial" w:cs="Arial"/>
              </w:rPr>
              <w:t xml:space="preserve">v rozsahu </w:t>
            </w:r>
            <w:r w:rsidR="00DD439B">
              <w:rPr>
                <w:rFonts w:ascii="Arial" w:hAnsi="Arial" w:cs="Arial"/>
              </w:rPr>
              <w:t xml:space="preserve">Služby </w:t>
            </w:r>
            <w:r w:rsidRPr="0098271D">
              <w:rPr>
                <w:rFonts w:ascii="Arial" w:hAnsi="Arial" w:cs="Arial"/>
              </w:rPr>
              <w:t xml:space="preserve">s platnou </w:t>
            </w:r>
            <w:r w:rsidR="00DD439B">
              <w:rPr>
                <w:rFonts w:ascii="Arial" w:hAnsi="Arial" w:cs="Arial"/>
              </w:rPr>
              <w:t xml:space="preserve">stávající </w:t>
            </w:r>
            <w:r w:rsidR="008F220A">
              <w:rPr>
                <w:rFonts w:ascii="Arial" w:hAnsi="Arial" w:cs="Arial"/>
              </w:rPr>
              <w:t>D</w:t>
            </w:r>
            <w:r w:rsidR="008F220A" w:rsidRPr="0098271D">
              <w:rPr>
                <w:rFonts w:ascii="Arial" w:hAnsi="Arial" w:cs="Arial"/>
              </w:rPr>
              <w:t xml:space="preserve">okumentací </w:t>
            </w:r>
            <w:r w:rsidRPr="0098271D">
              <w:rPr>
                <w:rFonts w:ascii="Arial" w:hAnsi="Arial" w:cs="Arial"/>
              </w:rPr>
              <w:t>a případně její oprava</w:t>
            </w:r>
            <w:r w:rsidR="009C52C8">
              <w:rPr>
                <w:rFonts w:ascii="Arial" w:hAnsi="Arial" w:cs="Arial"/>
              </w:rPr>
              <w:t>,</w:t>
            </w:r>
          </w:p>
          <w:p w14:paraId="65AE2E09" w14:textId="63249518" w:rsidR="00B75E08" w:rsidRPr="000D69B9" w:rsidRDefault="00B75E08" w:rsidP="00B75E0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udržování platných záloh PLC úrovně</w:t>
            </w:r>
            <w:r w:rsidR="00B26F69">
              <w:rPr>
                <w:rFonts w:ascii="Arial" w:hAnsi="Arial" w:cs="Arial"/>
              </w:rPr>
              <w:t>,</w:t>
            </w:r>
          </w:p>
          <w:p w14:paraId="788B3330" w14:textId="11D55382" w:rsidR="00DC130B" w:rsidRPr="000D69B9" w:rsidRDefault="002C57C0" w:rsidP="0087731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udržování</w:t>
            </w:r>
            <w:r w:rsidR="007567B8">
              <w:rPr>
                <w:rFonts w:ascii="Arial" w:hAnsi="Arial" w:cs="Arial"/>
              </w:rPr>
              <w:t xml:space="preserve"> </w:t>
            </w:r>
            <w:r w:rsidR="00010852">
              <w:rPr>
                <w:rFonts w:ascii="Arial" w:hAnsi="Arial" w:cs="Arial"/>
              </w:rPr>
              <w:t>P</w:t>
            </w:r>
            <w:r w:rsidR="007567B8">
              <w:rPr>
                <w:rFonts w:ascii="Arial" w:hAnsi="Arial" w:cs="Arial"/>
              </w:rPr>
              <w:t>lánu</w:t>
            </w:r>
            <w:r w:rsidR="00DC130B">
              <w:rPr>
                <w:rFonts w:ascii="Arial" w:hAnsi="Arial" w:cs="Arial"/>
              </w:rPr>
              <w:t xml:space="preserve"> </w:t>
            </w:r>
            <w:r w:rsidR="00AB52F5">
              <w:rPr>
                <w:rFonts w:ascii="Arial" w:hAnsi="Arial" w:cs="Arial"/>
              </w:rPr>
              <w:t xml:space="preserve">Obnovy </w:t>
            </w:r>
            <w:r w:rsidR="00DC130B">
              <w:rPr>
                <w:rFonts w:ascii="Arial" w:hAnsi="Arial" w:cs="Arial"/>
              </w:rPr>
              <w:t xml:space="preserve">PLC úrovně </w:t>
            </w:r>
            <w:r w:rsidR="00C12A87">
              <w:rPr>
                <w:rFonts w:ascii="Arial" w:hAnsi="Arial" w:cs="Arial"/>
              </w:rPr>
              <w:t xml:space="preserve">dodaného na základě Smlouvy o </w:t>
            </w:r>
            <w:r w:rsidR="00E85EDE">
              <w:rPr>
                <w:rFonts w:ascii="Arial" w:hAnsi="Arial" w:cs="Arial"/>
              </w:rPr>
              <w:t xml:space="preserve">dodávce </w:t>
            </w:r>
            <w:r w:rsidR="00DC130B">
              <w:rPr>
                <w:rFonts w:ascii="Arial" w:hAnsi="Arial" w:cs="Arial"/>
              </w:rPr>
              <w:t>ze záloh</w:t>
            </w:r>
            <w:r w:rsidR="004B00FE">
              <w:rPr>
                <w:rFonts w:ascii="Arial" w:hAnsi="Arial" w:cs="Arial"/>
              </w:rPr>
              <w:t xml:space="preserve"> včetně </w:t>
            </w:r>
            <w:r w:rsidR="0053646E">
              <w:rPr>
                <w:rFonts w:ascii="Arial" w:hAnsi="Arial" w:cs="Arial"/>
              </w:rPr>
              <w:t xml:space="preserve">otestování Plánu </w:t>
            </w:r>
            <w:r w:rsidR="00CE2E7A">
              <w:rPr>
                <w:rFonts w:ascii="Arial" w:hAnsi="Arial" w:cs="Arial"/>
              </w:rPr>
              <w:t>obnovy</w:t>
            </w:r>
            <w:r w:rsidR="008B05CB">
              <w:rPr>
                <w:rFonts w:ascii="Arial" w:hAnsi="Arial" w:cs="Arial"/>
              </w:rPr>
              <w:t xml:space="preserve"> 1x ročně na vybrané </w:t>
            </w:r>
            <w:r w:rsidR="0053646E">
              <w:rPr>
                <w:rFonts w:ascii="Arial" w:hAnsi="Arial" w:cs="Arial"/>
              </w:rPr>
              <w:t>L</w:t>
            </w:r>
            <w:r w:rsidR="008B05CB">
              <w:rPr>
                <w:rFonts w:ascii="Arial" w:hAnsi="Arial" w:cs="Arial"/>
              </w:rPr>
              <w:t>okalitě</w:t>
            </w:r>
            <w:r w:rsidR="0053646E">
              <w:rPr>
                <w:rFonts w:ascii="Arial" w:hAnsi="Arial" w:cs="Arial"/>
              </w:rPr>
              <w:t xml:space="preserve"> zvolené Objednatelem</w:t>
            </w:r>
            <w:r w:rsidR="008B05CB">
              <w:rPr>
                <w:rFonts w:ascii="Arial" w:hAnsi="Arial" w:cs="Arial"/>
              </w:rPr>
              <w:t>,</w:t>
            </w:r>
          </w:p>
          <w:p w14:paraId="367665CC" w14:textId="25145537" w:rsidR="00536BC5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</w:t>
            </w:r>
            <w:r w:rsidR="00751095">
              <w:rPr>
                <w:rFonts w:ascii="Arial" w:hAnsi="Arial" w:cs="Arial"/>
              </w:rPr>
              <w:t>e</w:t>
            </w:r>
            <w:r w:rsidRPr="00201C9A">
              <w:rPr>
                <w:rFonts w:ascii="Arial" w:hAnsi="Arial" w:cs="Arial"/>
              </w:rPr>
              <w:t xml:space="preserve"> vydaných a nenainstalovaných bezpečnostních záplat pro</w:t>
            </w:r>
            <w:r w:rsidR="006A084E">
              <w:rPr>
                <w:rFonts w:ascii="Arial" w:hAnsi="Arial" w:cs="Arial"/>
              </w:rPr>
              <w:t xml:space="preserve"> PLC</w:t>
            </w:r>
            <w:r w:rsidRPr="00201C9A">
              <w:rPr>
                <w:rFonts w:ascii="Arial" w:hAnsi="Arial" w:cs="Arial"/>
              </w:rPr>
              <w:t xml:space="preserve"> </w:t>
            </w:r>
            <w:r w:rsidR="009C52C8">
              <w:rPr>
                <w:rFonts w:ascii="Arial" w:hAnsi="Arial" w:cs="Arial"/>
              </w:rPr>
              <w:t xml:space="preserve">úroveň </w:t>
            </w:r>
            <w:r w:rsidRPr="00201C9A">
              <w:rPr>
                <w:rFonts w:ascii="Arial" w:hAnsi="Arial" w:cs="Arial"/>
              </w:rPr>
              <w:t>v rozsahu Služby,</w:t>
            </w:r>
          </w:p>
          <w:p w14:paraId="23F92352" w14:textId="45689E26" w:rsidR="001103C9" w:rsidRPr="00201C9A" w:rsidRDefault="001103C9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identifikace vydaných bezpečnostních hrozeb PLC úrovně a návrhy řešení,</w:t>
            </w:r>
          </w:p>
          <w:p w14:paraId="772C0A70" w14:textId="18B05EBF" w:rsidR="00536BC5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registrac</w:t>
            </w:r>
            <w:r w:rsidR="00751095">
              <w:rPr>
                <w:rFonts w:ascii="Arial" w:hAnsi="Arial" w:cs="Arial"/>
              </w:rPr>
              <w:t>e</w:t>
            </w:r>
            <w:r w:rsidRPr="00201C9A">
              <w:rPr>
                <w:rFonts w:ascii="Arial" w:hAnsi="Arial" w:cs="Arial"/>
              </w:rPr>
              <w:t xml:space="preserve"> identifikovaných Incidentů v aplikaci Help</w:t>
            </w:r>
            <w:r w:rsidR="00751095">
              <w:rPr>
                <w:rFonts w:ascii="Arial" w:hAnsi="Arial" w:cs="Arial"/>
              </w:rPr>
              <w:t>D</w:t>
            </w:r>
            <w:r w:rsidRPr="00201C9A">
              <w:rPr>
                <w:rFonts w:ascii="Arial" w:hAnsi="Arial" w:cs="Arial"/>
              </w:rPr>
              <w:t xml:space="preserve">esk </w:t>
            </w:r>
            <w:r w:rsidR="003E77F8">
              <w:rPr>
                <w:rFonts w:ascii="Arial" w:hAnsi="Arial" w:cs="Arial"/>
              </w:rPr>
              <w:t>Objednatele</w:t>
            </w:r>
            <w:r w:rsidRPr="00201C9A">
              <w:rPr>
                <w:rFonts w:ascii="Arial" w:hAnsi="Arial" w:cs="Arial"/>
              </w:rPr>
              <w:t>,</w:t>
            </w:r>
          </w:p>
          <w:p w14:paraId="3E5E34CD" w14:textId="57F9E866" w:rsidR="00A507FB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</w:t>
            </w:r>
            <w:r w:rsidR="00B0470B">
              <w:rPr>
                <w:rFonts w:ascii="Arial" w:hAnsi="Arial" w:cs="Arial"/>
              </w:rPr>
              <w:t>e</w:t>
            </w:r>
            <w:r w:rsidRPr="00201C9A">
              <w:rPr>
                <w:rFonts w:ascii="Arial" w:hAnsi="Arial" w:cs="Arial"/>
              </w:rPr>
              <w:t xml:space="preserve"> doby platnosti používaných certifikát</w:t>
            </w:r>
            <w:r w:rsidR="00E907A1">
              <w:rPr>
                <w:rFonts w:ascii="Arial" w:hAnsi="Arial" w:cs="Arial"/>
              </w:rPr>
              <w:t>ů a licencí</w:t>
            </w:r>
            <w:r w:rsidR="00A507FB">
              <w:rPr>
                <w:rFonts w:ascii="Arial" w:hAnsi="Arial" w:cs="Arial"/>
              </w:rPr>
              <w:t>,</w:t>
            </w:r>
          </w:p>
          <w:p w14:paraId="5945BD05" w14:textId="2B12D818" w:rsidR="00201C9A" w:rsidRDefault="00A507FB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vypracování Exitového plánu pro jednotlivé Lokality</w:t>
            </w:r>
            <w:r w:rsidR="00785F21">
              <w:rPr>
                <w:rFonts w:ascii="Arial" w:hAnsi="Arial" w:cs="Arial"/>
              </w:rPr>
              <w:t>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5C9FC23C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303205ED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veškeré náklady Dodavatele (interní a externí) na zajištění Služby, které nejsou explicitně uvedeny</w:t>
            </w:r>
            <w:r w:rsidR="00541707">
              <w:rPr>
                <w:rFonts w:ascii="Arial" w:hAnsi="Arial" w:cs="Arial"/>
              </w:rPr>
              <w:t xml:space="preserve"> </w:t>
            </w:r>
            <w:r w:rsidRPr="00201C9A">
              <w:rPr>
                <w:rFonts w:ascii="Arial" w:hAnsi="Arial" w:cs="Arial"/>
              </w:rPr>
              <w:t>v odstavci Služba nezahrnuje.</w:t>
            </w:r>
            <w:r w:rsidR="00541707">
              <w:rPr>
                <w:rFonts w:ascii="Arial" w:hAnsi="Arial" w:cs="Arial"/>
              </w:rPr>
              <w:t xml:space="preserve"> </w:t>
            </w:r>
            <w:r w:rsidR="00541707" w:rsidRPr="006E3C72">
              <w:rPr>
                <w:rFonts w:ascii="Arial" w:hAnsi="Arial" w:cs="Arial"/>
              </w:rPr>
              <w:t>Specificky pak Služba zahrnuje aktivity související s vedení</w:t>
            </w:r>
            <w:r w:rsidR="00541707">
              <w:rPr>
                <w:rFonts w:ascii="Arial" w:hAnsi="Arial" w:cs="Arial"/>
              </w:rPr>
              <w:t>m projektů na straně Dodavatele.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CA2E75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A2E75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CA2E75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CA2E75">
              <w:rPr>
                <w:rFonts w:cs="Arial"/>
              </w:rPr>
              <w:t>Služba nezahrnuje:</w:t>
            </w:r>
          </w:p>
          <w:p w14:paraId="044CC338" w14:textId="77EB603E" w:rsidR="00201C9A" w:rsidRPr="00CA2E75" w:rsidRDefault="00201C9A" w:rsidP="008709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A2E75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="00AB52F5">
              <w:rPr>
                <w:rFonts w:ascii="Arial" w:hAnsi="Arial" w:cs="Arial"/>
              </w:rPr>
              <w:t>Software</w:t>
            </w:r>
            <w:r w:rsidR="004F524D">
              <w:rPr>
                <w:rFonts w:ascii="Arial" w:hAnsi="Arial" w:cs="Arial"/>
              </w:rPr>
              <w:t xml:space="preserve"> PLC úrovně</w:t>
            </w:r>
            <w:r w:rsidR="004F524D" w:rsidRPr="00CA2E75">
              <w:rPr>
                <w:rFonts w:ascii="Arial" w:hAnsi="Arial" w:cs="Arial"/>
              </w:rPr>
              <w:t xml:space="preserve"> </w:t>
            </w:r>
            <w:r w:rsidRPr="00CA2E75">
              <w:rPr>
                <w:rFonts w:ascii="Arial" w:hAnsi="Arial" w:cs="Arial"/>
              </w:rPr>
              <w:t>v rozsahu Služby</w:t>
            </w:r>
            <w:bookmarkEnd w:id="1"/>
            <w:r w:rsidRPr="00CA2E75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0C4B520E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</w:t>
            </w:r>
            <w:r w:rsidR="006B61A5">
              <w:rPr>
                <w:rFonts w:cs="Arial"/>
              </w:rPr>
              <w:t>S</w:t>
            </w:r>
            <w:r w:rsidR="00014E48"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  <w:r w:rsidR="007F55CB">
              <w:rPr>
                <w:rFonts w:cs="Arial"/>
              </w:rPr>
              <w:t xml:space="preserve"> Monitoring je vykonáván nepřetržitě i mimo provozní dobu Služby, a to v režimu </w:t>
            </w:r>
            <w:r w:rsidR="007F55CB" w:rsidRPr="007F55CB">
              <w:rPr>
                <w:rFonts w:cs="Arial"/>
              </w:rPr>
              <w:t>24×7 (tj. 24 hodin, 7 dní v týdnu vč. víkendů, svátků a dnů pracovního volna</w:t>
            </w:r>
            <w:r w:rsidR="001643DC">
              <w:rPr>
                <w:rFonts w:cs="Arial"/>
              </w:rPr>
              <w:t>)</w:t>
            </w:r>
            <w:r w:rsidR="007F55CB">
              <w:rPr>
                <w:rFonts w:cs="Arial"/>
              </w:rPr>
              <w:t>.</w:t>
            </w:r>
          </w:p>
        </w:tc>
      </w:tr>
    </w:tbl>
    <w:p w14:paraId="01BBC6B1" w14:textId="77777777" w:rsidR="00756C0E" w:rsidRDefault="00756C0E"/>
    <w:p w14:paraId="03A7C185" w14:textId="77777777" w:rsidR="00756C0E" w:rsidRDefault="00756C0E"/>
    <w:p w14:paraId="1EA45603" w14:textId="1D2BFD1F" w:rsidR="00756C0E" w:rsidRDefault="00756C0E"/>
    <w:p w14:paraId="6B3383BF" w14:textId="53CDF106" w:rsidR="00536BC5" w:rsidRDefault="00536BC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6F9967E4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Dodavatel na vyžádaní Objednatele provede v rámci Služby a Ceny za Služby následující aktivity:</w:t>
            </w:r>
          </w:p>
          <w:p w14:paraId="0FFF9012" w14:textId="0D17A57E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revizi stavu vybrané </w:t>
            </w:r>
            <w:r w:rsidR="006A084E">
              <w:rPr>
                <w:rFonts w:ascii="Arial" w:hAnsi="Arial" w:cs="Arial"/>
              </w:rPr>
              <w:t>logiky</w:t>
            </w:r>
            <w:r w:rsidRPr="00201C9A">
              <w:rPr>
                <w:rFonts w:ascii="Arial" w:hAnsi="Arial" w:cs="Arial"/>
              </w:rPr>
              <w:t xml:space="preserve"> v rozsahu Služby mimo standardní harmonogram Služby</w:t>
            </w:r>
            <w:r w:rsidR="00077584">
              <w:rPr>
                <w:rFonts w:ascii="Arial" w:hAnsi="Arial" w:cs="Arial"/>
              </w:rPr>
              <w:t>,</w:t>
            </w:r>
          </w:p>
          <w:p w14:paraId="5A46CA05" w14:textId="7EC42793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</w:t>
            </w:r>
            <w:r w:rsidR="00E03238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32522236" w:rsidR="00201C9A" w:rsidRPr="00201C9A" w:rsidRDefault="00F301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201C9A"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06961681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Nepředložení Zprávy o čerpání služeb v Době na doručení Zprávy o čerpání služeb: </w:t>
            </w:r>
            <w:r w:rsidR="002B22D4">
              <w:rPr>
                <w:rFonts w:cs="Arial"/>
              </w:rPr>
              <w:t>1 0</w:t>
            </w:r>
            <w:r w:rsidRPr="00FA16FE">
              <w:rPr>
                <w:rFonts w:cs="Arial"/>
              </w:rPr>
              <w:t>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D98E149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</w:t>
            </w:r>
            <w:r w:rsidR="005B1C7C">
              <w:rPr>
                <w:rFonts w:cs="Arial"/>
              </w:rPr>
              <w:br/>
            </w:r>
            <w:r w:rsidRPr="00FA16FE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 w:rsidR="005B1C7C">
              <w:rPr>
                <w:rFonts w:cs="Arial"/>
              </w:rPr>
              <w:t> </w:t>
            </w:r>
            <w:r w:rsidRPr="00FA16FE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63A42980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Cena za Služby spočívající v Profylaxi </w:t>
            </w:r>
            <w:r w:rsidR="00545E41">
              <w:rPr>
                <w:rFonts w:cs="Arial"/>
              </w:rPr>
              <w:t>PLC úrovně</w:t>
            </w:r>
            <w:r w:rsidR="00545E41" w:rsidRPr="00FA16FE">
              <w:rPr>
                <w:rFonts w:cs="Arial"/>
              </w:rPr>
              <w:t xml:space="preserve"> </w:t>
            </w:r>
            <w:r w:rsidRPr="00FA16FE">
              <w:rPr>
                <w:rFonts w:cs="Arial"/>
              </w:rPr>
              <w:t>= [cena Služby stanovená přílohou č.</w:t>
            </w:r>
            <w:r w:rsidR="00BA534D">
              <w:rPr>
                <w:rFonts w:cs="Arial"/>
              </w:rPr>
              <w:t xml:space="preserve"> </w:t>
            </w:r>
            <w:r w:rsidR="000A6AF8">
              <w:rPr>
                <w:rFonts w:cs="Arial"/>
              </w:rPr>
              <w:t>3</w:t>
            </w:r>
            <w:r w:rsidRPr="00FA16FE">
              <w:rPr>
                <w:rFonts w:cs="Arial"/>
              </w:rPr>
              <w:t xml:space="preserve"> – Katalog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D216EE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Účtovaná Cena za Služby představuje Cenu za Služby </w:t>
            </w:r>
            <w:r w:rsidR="000364BF">
              <w:rPr>
                <w:rFonts w:cs="Arial"/>
              </w:rPr>
              <w:t xml:space="preserve">(v rozsahu Lokalit, na kterých byla Služba vykonávána)  </w:t>
            </w:r>
            <w:r w:rsidRPr="00FA16FE">
              <w:rPr>
                <w:rFonts w:cs="Arial"/>
              </w:rPr>
              <w:t>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41FCBC46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>Účtovaná Cena za Služby = CS</w:t>
            </w:r>
            <w:r w:rsidRPr="00FA16FE">
              <w:rPr>
                <w:rFonts w:cs="Arial"/>
                <w:b/>
                <w:vertAlign w:val="subscript"/>
              </w:rPr>
              <w:t xml:space="preserve">suma </w:t>
            </w:r>
            <w:r w:rsidR="00DA0B29" w:rsidRPr="00DA0B29">
              <w:rPr>
                <w:rFonts w:cs="Arial"/>
                <w:b/>
              </w:rPr>
              <w:t>-</w:t>
            </w:r>
            <w:r w:rsidRPr="00FA16FE">
              <w:rPr>
                <w:rFonts w:cs="Arial"/>
                <w:b/>
              </w:rPr>
              <w:t xml:space="preserve">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2BD90ACA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 xml:space="preserve">suma </w:t>
            </w:r>
            <w:r w:rsidRPr="00FA16FE">
              <w:rPr>
                <w:rFonts w:cs="Arial"/>
              </w:rPr>
              <w:t xml:space="preserve">= Cena za </w:t>
            </w:r>
            <w:proofErr w:type="gramStart"/>
            <w:r w:rsidRPr="00FA16FE">
              <w:rPr>
                <w:rFonts w:cs="Arial"/>
              </w:rPr>
              <w:t xml:space="preserve">Služby </w:t>
            </w:r>
            <w:r w:rsidR="000364BF">
              <w:rPr>
                <w:rFonts w:cs="Arial"/>
              </w:rPr>
              <w:t xml:space="preserve"> Profylaxi</w:t>
            </w:r>
            <w:proofErr w:type="gramEnd"/>
            <w:r w:rsidR="000364BF">
              <w:rPr>
                <w:rFonts w:cs="Arial"/>
              </w:rPr>
              <w:t xml:space="preserve"> </w:t>
            </w:r>
            <w:r w:rsidR="00545E41">
              <w:rPr>
                <w:rFonts w:cs="Arial"/>
              </w:rPr>
              <w:t xml:space="preserve">PLC úrovně </w:t>
            </w:r>
            <w:r w:rsidRPr="00FA16FE">
              <w:rPr>
                <w:rFonts w:cs="Arial"/>
              </w:rPr>
              <w:t>stanoven</w:t>
            </w:r>
            <w:r w:rsidR="000C587A">
              <w:rPr>
                <w:rFonts w:cs="Arial"/>
              </w:rPr>
              <w:t>á</w:t>
            </w:r>
            <w:r w:rsidRPr="00FA16FE">
              <w:rPr>
                <w:rFonts w:cs="Arial"/>
              </w:rPr>
              <w:t xml:space="preserve"> přílohou č. </w:t>
            </w:r>
            <w:r w:rsidR="00C54B6F">
              <w:rPr>
                <w:rFonts w:cs="Arial"/>
              </w:rPr>
              <w:t>1</w:t>
            </w:r>
            <w:r w:rsidRPr="00FA16FE">
              <w:rPr>
                <w:rFonts w:cs="Arial"/>
              </w:rPr>
              <w:t xml:space="preserve"> – Katalog služeb</w:t>
            </w:r>
            <w:r w:rsidR="000364BF">
              <w:rPr>
                <w:rFonts w:cs="Arial"/>
              </w:rPr>
              <w:t xml:space="preserve"> (v rozsahu Lokalit, na kterých byla Služba vykonávána)</w:t>
            </w:r>
          </w:p>
          <w:p w14:paraId="1BD22189" w14:textId="5B6F7DFE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</w:t>
            </w:r>
            <w:r w:rsidR="009443AC">
              <w:rPr>
                <w:rFonts w:cs="Arial"/>
              </w:rPr>
              <w:t>Z</w:t>
            </w:r>
            <w:r w:rsidRPr="00FA16FE">
              <w:rPr>
                <w:rFonts w:cs="Arial"/>
              </w:rPr>
              <w:t>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3D826DC" w14:textId="65C4BBAF" w:rsidR="00201C9A" w:rsidRPr="00201C9A" w:rsidRDefault="00C54B6F" w:rsidP="009443AC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Služby</w:t>
            </w:r>
            <w:r w:rsidR="009443AC">
              <w:rPr>
                <w:rFonts w:cs="Arial"/>
                <w:vertAlign w:val="subscript"/>
              </w:rPr>
              <w:t xml:space="preserve"> </w:t>
            </w:r>
            <w:r w:rsidR="00FA16FE" w:rsidRPr="00FA16FE">
              <w:rPr>
                <w:rFonts w:cs="Arial"/>
              </w:rPr>
              <w:t xml:space="preserve">je odečtena pouze v případě, že Dodavatel nedoručil Objednateli </w:t>
            </w:r>
            <w:r w:rsidR="009443AC">
              <w:rPr>
                <w:rFonts w:cs="Arial"/>
              </w:rPr>
              <w:t>Z</w:t>
            </w:r>
            <w:r w:rsidR="00FA16FE" w:rsidRPr="00FA16FE">
              <w:rPr>
                <w:rFonts w:cs="Arial"/>
              </w:rPr>
              <w:t xml:space="preserve">právu o čerpání </w:t>
            </w:r>
            <w:r w:rsidR="009443AC">
              <w:rPr>
                <w:rFonts w:cs="Arial"/>
              </w:rPr>
              <w:t>S</w:t>
            </w:r>
            <w:r w:rsidR="00FA16FE" w:rsidRPr="00FA16FE">
              <w:rPr>
                <w:rFonts w:cs="Arial"/>
              </w:rPr>
              <w:t>lužby</w:t>
            </w:r>
            <w:r w:rsidR="009443AC">
              <w:rPr>
                <w:rFonts w:cs="Arial"/>
              </w:rPr>
              <w:t xml:space="preserve"> </w:t>
            </w:r>
            <w:r w:rsidR="009443AC" w:rsidRPr="000707A5">
              <w:rPr>
                <w:rFonts w:cs="Arial"/>
              </w:rPr>
              <w:t>v</w:t>
            </w:r>
            <w:r w:rsidR="009443AC">
              <w:rPr>
                <w:rFonts w:cs="Arial"/>
              </w:rPr>
              <w:t> </w:t>
            </w:r>
            <w:r w:rsidR="009443AC" w:rsidRPr="000707A5">
              <w:rPr>
                <w:rFonts w:cs="Arial"/>
              </w:rPr>
              <w:t>termínu stanoveném tímto</w:t>
            </w:r>
            <w:r>
              <w:rPr>
                <w:rFonts w:cs="Arial"/>
              </w:rPr>
              <w:t xml:space="preserve"> L</w:t>
            </w:r>
            <w:r w:rsidR="009443A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služby</w:t>
            </w:r>
            <w:r w:rsidR="00FA16FE" w:rsidRPr="00FA16FE">
              <w:rPr>
                <w:rFonts w:cs="Arial"/>
              </w:rPr>
              <w:t>.</w:t>
            </w:r>
          </w:p>
        </w:tc>
      </w:tr>
    </w:tbl>
    <w:p w14:paraId="0DE98AF7" w14:textId="77777777" w:rsidR="00756C0E" w:rsidRDefault="00756C0E">
      <w:pPr>
        <w:spacing w:after="200" w:line="276" w:lineRule="auto"/>
        <w:rPr>
          <w:rFonts w:cs="Arial"/>
        </w:rPr>
      </w:pPr>
    </w:p>
    <w:p w14:paraId="2B680E19" w14:textId="77777777" w:rsidR="00756C0E" w:rsidRDefault="00756C0E">
      <w:pPr>
        <w:spacing w:after="200" w:line="276" w:lineRule="auto"/>
        <w:rPr>
          <w:rFonts w:cs="Arial"/>
        </w:rPr>
      </w:pPr>
    </w:p>
    <w:p w14:paraId="6996D86C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3ECDB10C" w14:textId="77777777" w:rsidR="00756C0E" w:rsidRDefault="00756C0E">
      <w:pPr>
        <w:spacing w:after="200" w:line="276" w:lineRule="auto"/>
        <w:rPr>
          <w:rFonts w:cs="Arial"/>
        </w:rPr>
      </w:pPr>
    </w:p>
    <w:p w14:paraId="7B953B81" w14:textId="51F1A82D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cs="Arial"/>
        </w:rPr>
        <w:br w:type="page"/>
      </w:r>
    </w:p>
    <w:p w14:paraId="0B890B66" w14:textId="61B5193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846"/>
        <w:gridCol w:w="495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48AD1A30" w:rsidR="00201C9A" w:rsidRPr="00201C9A" w:rsidRDefault="009B42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00–</w:t>
            </w:r>
            <w:r>
              <w:rPr>
                <w:rFonts w:cs="Arial"/>
              </w:rPr>
              <w:t>18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 h</w:t>
            </w:r>
            <w:r w:rsidR="00630399">
              <w:rPr>
                <w:rFonts w:cs="Arial"/>
              </w:rPr>
              <w:t>od</w:t>
            </w:r>
            <w:r w:rsidR="00EE33F2">
              <w:rPr>
                <w:rFonts w:cs="Arial"/>
              </w:rPr>
              <w:t>in</w:t>
            </w:r>
            <w:r w:rsidR="00201C9A" w:rsidRPr="00201C9A">
              <w:rPr>
                <w:rFonts w:cs="Arial"/>
              </w:rPr>
              <w:t xml:space="preserve">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201C9A" w:rsidRPr="00201C9A" w14:paraId="76366C66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9CF785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dohodnuté odstávky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D07A2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AEB76B9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  <w:tr w:rsidR="00201C9A" w:rsidRPr="00201C9A" w14:paraId="36CE449E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E9730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na údržbu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EF8613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F76444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</w:tr>
      <w:tr w:rsidR="00201C9A" w:rsidRPr="00201C9A" w14:paraId="105655A9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2B38EB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Maximální doba výpadku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F3348D7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7E462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3CEBD72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>1</w:t>
            </w:r>
            <w:r w:rsidR="009F18AF">
              <w:rPr>
                <w:rFonts w:cs="Arial"/>
                <w:lang w:eastAsia="zh-CN"/>
              </w:rPr>
              <w:t>×</w:t>
            </w:r>
            <w:r w:rsidRPr="002770EC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1A21E907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Dodavatel zajistí, aby mezi dvěma profylaxemi byl vždy dodržen časový odstup minimálně 20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62223E93" w14:textId="5998DD70" w:rsidR="00536BC5" w:rsidRPr="00536BC5" w:rsidRDefault="00FA16FE" w:rsidP="00D43BC0">
      <w:pPr>
        <w:numPr>
          <w:ilvl w:val="0"/>
          <w:numId w:val="6"/>
        </w:numPr>
        <w:tabs>
          <w:tab w:val="left" w:pos="708"/>
        </w:tabs>
        <w:suppressAutoHyphens/>
        <w:spacing w:before="60" w:after="200" w:line="276" w:lineRule="auto"/>
        <w:ind w:left="454" w:firstLine="0"/>
        <w:rPr>
          <w:rFonts w:eastAsiaTheme="minorHAnsi" w:cs="Arial"/>
          <w:b/>
          <w:sz w:val="22"/>
          <w:szCs w:val="22"/>
          <w:lang w:eastAsia="zh-CN"/>
        </w:rPr>
      </w:pPr>
      <w:r w:rsidRPr="00536BC5">
        <w:rPr>
          <w:rFonts w:cs="Arial"/>
          <w:szCs w:val="24"/>
          <w:lang w:eastAsia="zh-CN"/>
        </w:rPr>
        <w:t>N/A</w:t>
      </w:r>
    </w:p>
    <w:p w14:paraId="0F630FFF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76A3EAFC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4397243A" w14:textId="27DBD6DF" w:rsidR="00756C0E" w:rsidRPr="00756C0E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74004C3A" w14:textId="097AB5A5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eastAsiaTheme="minorHAnsi" w:cs="Arial"/>
          <w:b/>
          <w:sz w:val="22"/>
          <w:szCs w:val="22"/>
          <w:lang w:eastAsia="zh-CN"/>
        </w:rPr>
        <w:br w:type="page"/>
      </w:r>
    </w:p>
    <w:p w14:paraId="1CCF1D97" w14:textId="0B05AE6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50AEDADC" w14:textId="4DCA8D6E" w:rsidR="00FA16FE" w:rsidRPr="00FA16FE" w:rsidRDefault="00FA16FE" w:rsidP="00B5249D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cs="Arial"/>
        </w:rPr>
      </w:pPr>
      <w:r w:rsidRPr="00B5249D">
        <w:rPr>
          <w:rFonts w:ascii="Arial" w:eastAsia="Times New Roman" w:hAnsi="Arial" w:cs="Arial"/>
          <w:sz w:val="20"/>
        </w:rPr>
        <w:t>Objednatel</w:t>
      </w:r>
      <w:r w:rsidRPr="00FA16FE">
        <w:rPr>
          <w:rFonts w:cs="Arial"/>
        </w:rPr>
        <w:t xml:space="preserve"> odpovídá za zajištění následujících požadavků:</w:t>
      </w:r>
    </w:p>
    <w:p w14:paraId="1472C32E" w14:textId="77777777" w:rsidR="009F6980" w:rsidRDefault="009F6980" w:rsidP="009F698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 xml:space="preserve">přístupy a dostatečná úroveň oprávnění pro správu a údržbu PLC úrovně, </w:t>
      </w:r>
    </w:p>
    <w:p w14:paraId="11B67123" w14:textId="77777777" w:rsidR="009F6980" w:rsidRDefault="009F6980" w:rsidP="009F698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přístupy ke všem zdrojovým souborům svěřené PLC úrovně, dostupná technická a uživatelská dokumentace svěřených aplikací, služeb,</w:t>
      </w:r>
      <w:r>
        <w:rPr>
          <w:rFonts w:cs="Arial"/>
          <w:szCs w:val="24"/>
          <w:lang w:eastAsia="zh-CN"/>
        </w:rPr>
        <w:br/>
        <w:t xml:space="preserve">API a podobně, dokumentace k infrastruktuře sítě Objednatele, na níž běží svěřené aktivum (včetně síťových adres jednotlivých částí), </w:t>
      </w:r>
    </w:p>
    <w:p w14:paraId="1F1F12C0" w14:textId="77777777" w:rsidR="009F6980" w:rsidRDefault="009F6980" w:rsidP="009F698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061F0AB9" w14:textId="407FA174" w:rsidR="009F6980" w:rsidRDefault="009F6980" w:rsidP="009F698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přístupy a dostatečná úroveň oprávnění do Help</w:t>
      </w:r>
      <w:r w:rsidR="00A87FD1">
        <w:rPr>
          <w:rFonts w:cs="Arial"/>
          <w:szCs w:val="24"/>
          <w:lang w:eastAsia="zh-CN"/>
        </w:rPr>
        <w:t>D</w:t>
      </w:r>
      <w:r>
        <w:rPr>
          <w:rFonts w:cs="Arial"/>
          <w:szCs w:val="24"/>
          <w:lang w:eastAsia="zh-CN"/>
        </w:rPr>
        <w:t xml:space="preserve">esku Objednatele, </w:t>
      </w:r>
    </w:p>
    <w:p w14:paraId="6FEB0CCF" w14:textId="77777777" w:rsidR="009F6980" w:rsidRDefault="009F6980" w:rsidP="009F698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szCs w:val="24"/>
          <w:lang w:eastAsia="zh-CN"/>
        </w:rPr>
        <w:t>VPN a PIM/PAM přístupy a doménové</w:t>
      </w:r>
      <w:r>
        <w:rPr>
          <w:rFonts w:cs="Arial"/>
          <w:color w:val="000000"/>
          <w:szCs w:val="24"/>
          <w:lang w:eastAsia="zh-CN"/>
        </w:rPr>
        <w:t xml:space="preserve"> přístupy pro Dodavatele nezbytné k zajištění Služeb popsaných v rámci jednotlivých Listů služeb.</w:t>
      </w:r>
    </w:p>
    <w:p w14:paraId="7C380773" w14:textId="0E302EA3" w:rsidR="00FA16FE" w:rsidRPr="00FA16FE" w:rsidRDefault="00FA16FE" w:rsidP="000D69B9">
      <w:pPr>
        <w:tabs>
          <w:tab w:val="left" w:pos="708"/>
        </w:tabs>
        <w:suppressAutoHyphens/>
        <w:spacing w:before="60" w:after="12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>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4F6B376" w14:textId="37CEF6CA" w:rsidR="00132FFC" w:rsidRPr="00756C0E" w:rsidRDefault="00FA16FE" w:rsidP="00673E16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1F3229">
        <w:rPr>
          <w:rFonts w:cs="Arial"/>
          <w:szCs w:val="24"/>
          <w:lang w:eastAsia="zh-CN"/>
        </w:rPr>
        <w:t xml:space="preserve">Viz příloha „ZoČS P01 </w:t>
      </w:r>
      <w:r w:rsidR="003B27BC" w:rsidRPr="001F3229">
        <w:rPr>
          <w:rFonts w:cs="Arial"/>
          <w:szCs w:val="24"/>
          <w:lang w:eastAsia="zh-CN"/>
        </w:rPr>
        <w:t>–</w:t>
      </w:r>
      <w:r w:rsidRPr="001F3229">
        <w:rPr>
          <w:rFonts w:cs="Arial"/>
          <w:szCs w:val="24"/>
          <w:lang w:eastAsia="zh-CN"/>
        </w:rPr>
        <w:t xml:space="preserve"> Profylaxe“.</w:t>
      </w:r>
    </w:p>
    <w:p w14:paraId="19DE6BB1" w14:textId="04D623A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26222937" w14:textId="0793E64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FF59CE3" w14:textId="1C9096AB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71F0EEAB" w14:textId="4300FA13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178690BC" w14:textId="206B2A01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3CE63C1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A373A8F" w14:textId="77777777" w:rsidR="00756C0E" w:rsidRPr="001F3229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b/>
        </w:rPr>
      </w:pPr>
    </w:p>
    <w:sectPr w:rsidR="00756C0E" w:rsidRPr="001F3229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5D8F4" w14:textId="77777777" w:rsidR="00AE6656" w:rsidRDefault="00AE6656" w:rsidP="00B45E24">
      <w:r>
        <w:separator/>
      </w:r>
    </w:p>
  </w:endnote>
  <w:endnote w:type="continuationSeparator" w:id="0">
    <w:p w14:paraId="4CC4C0E5" w14:textId="77777777" w:rsidR="00AE6656" w:rsidRDefault="00AE665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CC06" w14:textId="77777777" w:rsidR="00AE6656" w:rsidRDefault="00AE6656" w:rsidP="00B45E24">
      <w:r>
        <w:separator/>
      </w:r>
    </w:p>
  </w:footnote>
  <w:footnote w:type="continuationSeparator" w:id="0">
    <w:p w14:paraId="071B6069" w14:textId="77777777" w:rsidR="00AE6656" w:rsidRDefault="00AE665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491F" w14:textId="00E641D5" w:rsidR="00D95CB5" w:rsidRDefault="00D95CB5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903E43"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79020E83" w14:textId="45C23320" w:rsidR="00D95CB5" w:rsidRDefault="00903E43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="00D95CB5" w:rsidRPr="00A06D61">
      <w:rPr>
        <w:rStyle w:val="slostrnky"/>
        <w:sz w:val="16"/>
        <w:szCs w:val="16"/>
      </w:rPr>
      <w:t>/OCN</w:t>
    </w:r>
    <w:r w:rsidR="00D95CB5">
      <w:rPr>
        <w:rStyle w:val="slostrnky"/>
        <w:sz w:val="16"/>
        <w:szCs w:val="16"/>
      </w:rPr>
      <w:tab/>
    </w:r>
    <w:r w:rsidRPr="000440A0">
      <w:rPr>
        <w:sz w:val="16"/>
        <w:szCs w:val="16"/>
      </w:rPr>
      <w:t>o poskytování služeb podpory, údržby a rozvoje PLC úrovně řídicích systému skladů PHM</w:t>
    </w:r>
  </w:p>
  <w:p w14:paraId="1DE97D4C" w14:textId="6517880D" w:rsidR="000D69B9" w:rsidRDefault="000D69B9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23848A6D" w14:textId="20937045" w:rsidR="00906713" w:rsidRDefault="00D95CB5" w:rsidP="00D95CB5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 w:rsidR="000A6AF8"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="00EB2A55" w:rsidRPr="00EB2A55">
      <w:rPr>
        <w:rStyle w:val="slostrnky"/>
        <w:sz w:val="16"/>
        <w:szCs w:val="16"/>
      </w:rPr>
      <w:t xml:space="preserve">P01 – Monitoring, profylaxe a podpora zajišťující nepřetržitý provoz </w:t>
    </w:r>
    <w:r w:rsidR="000D69B9">
      <w:rPr>
        <w:rStyle w:val="slostrnky"/>
        <w:sz w:val="16"/>
        <w:szCs w:val="16"/>
      </w:rPr>
      <w:t>PLC úrovně</w:t>
    </w:r>
  </w:p>
  <w:p w14:paraId="2EBF4BAB" w14:textId="77777777" w:rsidR="00906713" w:rsidRPr="00B5159C" w:rsidRDefault="00906713" w:rsidP="00906713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4FB4AB14" w14:textId="77777777" w:rsidR="00B45E24" w:rsidRPr="00906713" w:rsidRDefault="00B45E24" w:rsidP="009067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E1C4D"/>
    <w:multiLevelType w:val="hybridMultilevel"/>
    <w:tmpl w:val="8118F44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810523">
    <w:abstractNumId w:val="4"/>
  </w:num>
  <w:num w:numId="2" w16cid:durableId="1288782066">
    <w:abstractNumId w:val="8"/>
  </w:num>
  <w:num w:numId="3" w16cid:durableId="1976830446">
    <w:abstractNumId w:val="2"/>
  </w:num>
  <w:num w:numId="4" w16cid:durableId="1338119690">
    <w:abstractNumId w:val="9"/>
  </w:num>
  <w:num w:numId="5" w16cid:durableId="2038384335">
    <w:abstractNumId w:val="0"/>
    <w:lvlOverride w:ilvl="0">
      <w:startOverride w:val="1"/>
    </w:lvlOverride>
  </w:num>
  <w:num w:numId="6" w16cid:durableId="2030713511">
    <w:abstractNumId w:val="6"/>
  </w:num>
  <w:num w:numId="7" w16cid:durableId="538402030">
    <w:abstractNumId w:val="6"/>
  </w:num>
  <w:num w:numId="8" w16cid:durableId="247815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5586031">
    <w:abstractNumId w:val="1"/>
  </w:num>
  <w:num w:numId="10" w16cid:durableId="285157335">
    <w:abstractNumId w:val="7"/>
  </w:num>
  <w:num w:numId="11" w16cid:durableId="130025440">
    <w:abstractNumId w:val="5"/>
  </w:num>
  <w:num w:numId="12" w16cid:durableId="19358720">
    <w:abstractNumId w:val="3"/>
  </w:num>
  <w:num w:numId="13" w16cid:durableId="5743218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0852"/>
    <w:rsid w:val="000122B6"/>
    <w:rsid w:val="00014E48"/>
    <w:rsid w:val="0002062E"/>
    <w:rsid w:val="000364BF"/>
    <w:rsid w:val="000576FA"/>
    <w:rsid w:val="00071DAD"/>
    <w:rsid w:val="00077584"/>
    <w:rsid w:val="00083172"/>
    <w:rsid w:val="000A6AF8"/>
    <w:rsid w:val="000B18B0"/>
    <w:rsid w:val="000C587A"/>
    <w:rsid w:val="000D69B9"/>
    <w:rsid w:val="000D72B1"/>
    <w:rsid w:val="000F53F9"/>
    <w:rsid w:val="00101DE3"/>
    <w:rsid w:val="001103C9"/>
    <w:rsid w:val="00111B4B"/>
    <w:rsid w:val="00115496"/>
    <w:rsid w:val="00120C97"/>
    <w:rsid w:val="00132FFC"/>
    <w:rsid w:val="00142310"/>
    <w:rsid w:val="001643DC"/>
    <w:rsid w:val="0019743C"/>
    <w:rsid w:val="001A15A9"/>
    <w:rsid w:val="001A7E29"/>
    <w:rsid w:val="001B10E5"/>
    <w:rsid w:val="001D3AB3"/>
    <w:rsid w:val="001F3229"/>
    <w:rsid w:val="00201C9A"/>
    <w:rsid w:val="002058AE"/>
    <w:rsid w:val="00210265"/>
    <w:rsid w:val="00210B74"/>
    <w:rsid w:val="0022653F"/>
    <w:rsid w:val="00251EB0"/>
    <w:rsid w:val="00256CA1"/>
    <w:rsid w:val="002637DD"/>
    <w:rsid w:val="002770EC"/>
    <w:rsid w:val="00286665"/>
    <w:rsid w:val="002933DF"/>
    <w:rsid w:val="0029798F"/>
    <w:rsid w:val="002A436A"/>
    <w:rsid w:val="002B22D4"/>
    <w:rsid w:val="002C57C0"/>
    <w:rsid w:val="002C7CF4"/>
    <w:rsid w:val="0031048D"/>
    <w:rsid w:val="00320666"/>
    <w:rsid w:val="0035718C"/>
    <w:rsid w:val="00371FA1"/>
    <w:rsid w:val="003868E6"/>
    <w:rsid w:val="003B27BC"/>
    <w:rsid w:val="003C7608"/>
    <w:rsid w:val="003E6D0F"/>
    <w:rsid w:val="003E77F8"/>
    <w:rsid w:val="004064C3"/>
    <w:rsid w:val="004239C3"/>
    <w:rsid w:val="0043372D"/>
    <w:rsid w:val="004347C9"/>
    <w:rsid w:val="00435467"/>
    <w:rsid w:val="004503C5"/>
    <w:rsid w:val="004625EF"/>
    <w:rsid w:val="00487040"/>
    <w:rsid w:val="004871ED"/>
    <w:rsid w:val="004B00FE"/>
    <w:rsid w:val="004B0B8E"/>
    <w:rsid w:val="004F524D"/>
    <w:rsid w:val="005025D8"/>
    <w:rsid w:val="00505BC4"/>
    <w:rsid w:val="00520FEF"/>
    <w:rsid w:val="005263C3"/>
    <w:rsid w:val="00534100"/>
    <w:rsid w:val="0053646E"/>
    <w:rsid w:val="00536BC5"/>
    <w:rsid w:val="005379B8"/>
    <w:rsid w:val="00541707"/>
    <w:rsid w:val="00545E41"/>
    <w:rsid w:val="00554E43"/>
    <w:rsid w:val="00554F33"/>
    <w:rsid w:val="00566715"/>
    <w:rsid w:val="00585F77"/>
    <w:rsid w:val="00591213"/>
    <w:rsid w:val="00596925"/>
    <w:rsid w:val="005B1C7C"/>
    <w:rsid w:val="005E1020"/>
    <w:rsid w:val="00606DB1"/>
    <w:rsid w:val="00611D8C"/>
    <w:rsid w:val="00613D38"/>
    <w:rsid w:val="00622EFD"/>
    <w:rsid w:val="00630399"/>
    <w:rsid w:val="00634BB8"/>
    <w:rsid w:val="00643072"/>
    <w:rsid w:val="006432CE"/>
    <w:rsid w:val="00664FD5"/>
    <w:rsid w:val="00665247"/>
    <w:rsid w:val="0067794D"/>
    <w:rsid w:val="00694267"/>
    <w:rsid w:val="0069486B"/>
    <w:rsid w:val="006A084E"/>
    <w:rsid w:val="006A4EB0"/>
    <w:rsid w:val="006B61A5"/>
    <w:rsid w:val="006C023F"/>
    <w:rsid w:val="006E46BC"/>
    <w:rsid w:val="006E7630"/>
    <w:rsid w:val="00701F29"/>
    <w:rsid w:val="00717FEF"/>
    <w:rsid w:val="00720A03"/>
    <w:rsid w:val="00751095"/>
    <w:rsid w:val="00753D65"/>
    <w:rsid w:val="007567B8"/>
    <w:rsid w:val="00756C0E"/>
    <w:rsid w:val="007709AA"/>
    <w:rsid w:val="00772230"/>
    <w:rsid w:val="00785F21"/>
    <w:rsid w:val="00787D15"/>
    <w:rsid w:val="00792A76"/>
    <w:rsid w:val="00795768"/>
    <w:rsid w:val="007A5E06"/>
    <w:rsid w:val="007C40A2"/>
    <w:rsid w:val="007C60AC"/>
    <w:rsid w:val="007F55CB"/>
    <w:rsid w:val="00827F07"/>
    <w:rsid w:val="00831B1F"/>
    <w:rsid w:val="008604E1"/>
    <w:rsid w:val="00870951"/>
    <w:rsid w:val="00877317"/>
    <w:rsid w:val="008A081D"/>
    <w:rsid w:val="008A1D72"/>
    <w:rsid w:val="008A410D"/>
    <w:rsid w:val="008B05CB"/>
    <w:rsid w:val="008F220A"/>
    <w:rsid w:val="00903E43"/>
    <w:rsid w:val="00906713"/>
    <w:rsid w:val="00923D61"/>
    <w:rsid w:val="00926930"/>
    <w:rsid w:val="00931BCD"/>
    <w:rsid w:val="00940A92"/>
    <w:rsid w:val="009443AC"/>
    <w:rsid w:val="00944F8C"/>
    <w:rsid w:val="00950B09"/>
    <w:rsid w:val="00970B0A"/>
    <w:rsid w:val="00970DCF"/>
    <w:rsid w:val="0098271D"/>
    <w:rsid w:val="009B427D"/>
    <w:rsid w:val="009C52C8"/>
    <w:rsid w:val="009C73CA"/>
    <w:rsid w:val="009C7A42"/>
    <w:rsid w:val="009F18AF"/>
    <w:rsid w:val="009F6980"/>
    <w:rsid w:val="009F71FE"/>
    <w:rsid w:val="00A06D61"/>
    <w:rsid w:val="00A07EF8"/>
    <w:rsid w:val="00A13282"/>
    <w:rsid w:val="00A35C45"/>
    <w:rsid w:val="00A36BBF"/>
    <w:rsid w:val="00A507FB"/>
    <w:rsid w:val="00A5606E"/>
    <w:rsid w:val="00A622C9"/>
    <w:rsid w:val="00A66A1A"/>
    <w:rsid w:val="00A726D7"/>
    <w:rsid w:val="00A87FD1"/>
    <w:rsid w:val="00A90681"/>
    <w:rsid w:val="00AA0325"/>
    <w:rsid w:val="00AB244F"/>
    <w:rsid w:val="00AB52F5"/>
    <w:rsid w:val="00AB53C8"/>
    <w:rsid w:val="00AB72F0"/>
    <w:rsid w:val="00AD6EEA"/>
    <w:rsid w:val="00AE6656"/>
    <w:rsid w:val="00AF2BA4"/>
    <w:rsid w:val="00AF55CA"/>
    <w:rsid w:val="00AF70DF"/>
    <w:rsid w:val="00B0470B"/>
    <w:rsid w:val="00B054D4"/>
    <w:rsid w:val="00B26F69"/>
    <w:rsid w:val="00B301D5"/>
    <w:rsid w:val="00B3543D"/>
    <w:rsid w:val="00B45E24"/>
    <w:rsid w:val="00B5249D"/>
    <w:rsid w:val="00B7040D"/>
    <w:rsid w:val="00B75E08"/>
    <w:rsid w:val="00B82F1C"/>
    <w:rsid w:val="00B91EB3"/>
    <w:rsid w:val="00B9372D"/>
    <w:rsid w:val="00B961EE"/>
    <w:rsid w:val="00B97446"/>
    <w:rsid w:val="00BA354B"/>
    <w:rsid w:val="00BA534D"/>
    <w:rsid w:val="00BB2FA3"/>
    <w:rsid w:val="00BD4E12"/>
    <w:rsid w:val="00BE4A30"/>
    <w:rsid w:val="00BE760B"/>
    <w:rsid w:val="00BF0023"/>
    <w:rsid w:val="00C04533"/>
    <w:rsid w:val="00C12A87"/>
    <w:rsid w:val="00C2185D"/>
    <w:rsid w:val="00C40A38"/>
    <w:rsid w:val="00C54B6F"/>
    <w:rsid w:val="00C60225"/>
    <w:rsid w:val="00C654B6"/>
    <w:rsid w:val="00C723CF"/>
    <w:rsid w:val="00CA042D"/>
    <w:rsid w:val="00CA2E75"/>
    <w:rsid w:val="00CB354C"/>
    <w:rsid w:val="00CD2542"/>
    <w:rsid w:val="00CE2E7A"/>
    <w:rsid w:val="00CF1149"/>
    <w:rsid w:val="00D038FB"/>
    <w:rsid w:val="00D10B8E"/>
    <w:rsid w:val="00D20E32"/>
    <w:rsid w:val="00D24837"/>
    <w:rsid w:val="00D3162C"/>
    <w:rsid w:val="00D46139"/>
    <w:rsid w:val="00D47F61"/>
    <w:rsid w:val="00D67DC5"/>
    <w:rsid w:val="00D95CB5"/>
    <w:rsid w:val="00DA0B29"/>
    <w:rsid w:val="00DA4B29"/>
    <w:rsid w:val="00DB1AB2"/>
    <w:rsid w:val="00DC130B"/>
    <w:rsid w:val="00DD439B"/>
    <w:rsid w:val="00DD5F9C"/>
    <w:rsid w:val="00E03238"/>
    <w:rsid w:val="00E04C7D"/>
    <w:rsid w:val="00E074BF"/>
    <w:rsid w:val="00E1693D"/>
    <w:rsid w:val="00E208A3"/>
    <w:rsid w:val="00E263CD"/>
    <w:rsid w:val="00E347BD"/>
    <w:rsid w:val="00E42472"/>
    <w:rsid w:val="00E44C75"/>
    <w:rsid w:val="00E44D77"/>
    <w:rsid w:val="00E57338"/>
    <w:rsid w:val="00E63F9B"/>
    <w:rsid w:val="00E67476"/>
    <w:rsid w:val="00E73F90"/>
    <w:rsid w:val="00E8342F"/>
    <w:rsid w:val="00E85EDE"/>
    <w:rsid w:val="00E907A1"/>
    <w:rsid w:val="00EB0A8D"/>
    <w:rsid w:val="00EB2A55"/>
    <w:rsid w:val="00EC2967"/>
    <w:rsid w:val="00EC3CB5"/>
    <w:rsid w:val="00EC457A"/>
    <w:rsid w:val="00EE33F2"/>
    <w:rsid w:val="00EF52E5"/>
    <w:rsid w:val="00F15089"/>
    <w:rsid w:val="00F301D5"/>
    <w:rsid w:val="00F32632"/>
    <w:rsid w:val="00F47F9A"/>
    <w:rsid w:val="00F548A1"/>
    <w:rsid w:val="00F74BE6"/>
    <w:rsid w:val="00F83606"/>
    <w:rsid w:val="00F9331E"/>
    <w:rsid w:val="00F9699E"/>
    <w:rsid w:val="00FA16FE"/>
    <w:rsid w:val="00FB678F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978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  <w:style w:type="paragraph" w:styleId="Revize">
    <w:name w:val="Revision"/>
    <w:hidden/>
    <w:uiPriority w:val="99"/>
    <w:semiHidden/>
    <w:rsid w:val="00F47F9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6A9C0-F5F9-4D02-A67E-C1FE81500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EE63A-99C1-4465-8706-6BFE48EA4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4E04D7-5736-442E-B069-0A16D15F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868</Words>
  <Characters>5125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Molčíková Zuzana</cp:lastModifiedBy>
  <cp:revision>4</cp:revision>
  <dcterms:created xsi:type="dcterms:W3CDTF">2025-04-30T14:24:00Z</dcterms:created>
  <dcterms:modified xsi:type="dcterms:W3CDTF">2025-05-04T20:16:00Z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